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Результаты </w:t>
      </w:r>
      <w:r w:rsidR="008D5A3C">
        <w:rPr>
          <w:rFonts w:ascii="Times New Roman" w:hAnsi="Times New Roman" w:cs="Times New Roman"/>
          <w:sz w:val="24"/>
          <w:szCs w:val="24"/>
          <w:lang w:eastAsia="ar-SA"/>
        </w:rPr>
        <w:t>оценки качества освоения воспитанниками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82DF4">
        <w:rPr>
          <w:rFonts w:ascii="Times New Roman" w:hAnsi="Times New Roman" w:cs="Times New Roman"/>
          <w:sz w:val="24"/>
          <w:szCs w:val="24"/>
          <w:lang w:eastAsia="ar-SA"/>
        </w:rPr>
        <w:t>МАДОУ «ДС №478 г.Челябинска»</w:t>
      </w:r>
      <w:bookmarkStart w:id="0" w:name="_GoBack"/>
      <w:bookmarkEnd w:id="0"/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ОП ДО и АОП ДО на конец 2023 - 2024 учебного года.</w:t>
      </w:r>
    </w:p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-87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п.3.2.3. Стандарта при реализации </w:t>
      </w:r>
      <w:r w:rsidR="008D5A3C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ОП ДО и АОП </w:t>
      </w:r>
      <w:proofErr w:type="gramStart"/>
      <w:r w:rsidR="008D5A3C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ДО  </w:t>
      </w:r>
      <w:r w:rsidR="008D5A3C">
        <w:rPr>
          <w:rFonts w:ascii="Times New Roman" w:hAnsi="Times New Roman" w:cs="Times New Roman"/>
          <w:sz w:val="24"/>
          <w:szCs w:val="24"/>
          <w:lang w:eastAsia="ar-SA"/>
        </w:rPr>
        <w:t>педагогами</w:t>
      </w:r>
      <w:proofErr w:type="gramEnd"/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может проводиться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 дальнейшего развития каждого ребёнка и профессиональной коррекции выявленных особенностей развития. </w:t>
      </w:r>
    </w:p>
    <w:p w:rsidR="008D5A3C" w:rsidRPr="002A0439" w:rsidRDefault="008D5A3C" w:rsidP="008D5A3C">
      <w:pPr>
        <w:widowControl w:val="0"/>
        <w:shd w:val="clear" w:color="auto" w:fill="FFFFFF"/>
        <w:suppressAutoHyphens/>
        <w:autoSpaceDE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Результаты мониторинга освоения образовательных областей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ОП ДО и АОП </w:t>
      </w:r>
      <w:proofErr w:type="gramStart"/>
      <w:r w:rsidRPr="002A0439">
        <w:rPr>
          <w:rFonts w:ascii="Times New Roman" w:hAnsi="Times New Roman" w:cs="Times New Roman"/>
          <w:sz w:val="24"/>
          <w:szCs w:val="24"/>
          <w:lang w:eastAsia="ar-SA"/>
        </w:rPr>
        <w:t>ДО  используется</w:t>
      </w:r>
      <w:proofErr w:type="gramEnd"/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для решения следующих образовательных задач:</w:t>
      </w:r>
    </w:p>
    <w:p w:rsidR="008D5A3C" w:rsidRPr="002A0439" w:rsidRDefault="008D5A3C" w:rsidP="008D5A3C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1) индивидуализация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D5A3C" w:rsidRPr="002A0439" w:rsidRDefault="008D5A3C" w:rsidP="008D5A3C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2) оптимизация работы с группой детей.</w:t>
      </w:r>
    </w:p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Результаты мониторинга освоения образовательных областей ОП ДО И АОП ДО на конец 2023 - 2024 учебного года.</w:t>
      </w:r>
    </w:p>
    <w:p w:rsidR="002A0439" w:rsidRPr="002A0439" w:rsidRDefault="002A0439" w:rsidP="002A043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Физическое развитие:</w:t>
      </w:r>
    </w:p>
    <w:p w:rsidR="002A0439" w:rsidRPr="002A0439" w:rsidRDefault="002A0439" w:rsidP="002A043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физическое культура – 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98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сохранение и укрепление психического и физического здоровья – 97%;</w:t>
      </w:r>
    </w:p>
    <w:p w:rsidR="002A0439" w:rsidRPr="002A0439" w:rsidRDefault="002A0439" w:rsidP="002A043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воспитание КГН – 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98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формирование представлений о здоровом образе жизни – 94%.</w:t>
      </w:r>
    </w:p>
    <w:p w:rsidR="002A0439" w:rsidRPr="002A0439" w:rsidRDefault="002A0439" w:rsidP="002A043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Социально-коммуникативное развитие:</w:t>
      </w:r>
    </w:p>
    <w:p w:rsidR="002A0439" w:rsidRPr="002A0439" w:rsidRDefault="002A0439" w:rsidP="002A043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развитие игровой деятельности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5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социализация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7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развитие трудовой деятельности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7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%.</w:t>
      </w:r>
    </w:p>
    <w:p w:rsidR="002A0439" w:rsidRPr="002A0439" w:rsidRDefault="002A0439" w:rsidP="002A043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Познавательное развитие: </w:t>
      </w:r>
    </w:p>
    <w:p w:rsidR="002A0439" w:rsidRPr="002A0439" w:rsidRDefault="002A0439" w:rsidP="002A04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right="346" w:hanging="720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сенсорное развитие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6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right="346" w:hanging="720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предметный мир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7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right="346" w:hanging="720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ФЭМП – 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89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right="346" w:hanging="720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мир природы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5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%.</w:t>
      </w:r>
    </w:p>
    <w:p w:rsidR="002A0439" w:rsidRPr="002A0439" w:rsidRDefault="002A0439" w:rsidP="002A043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Речевое развитие:</w:t>
      </w:r>
    </w:p>
    <w:p w:rsidR="002A0439" w:rsidRPr="002A0439" w:rsidRDefault="002A0439" w:rsidP="002A0439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развитие речи – 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91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литературой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3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подготовка к обучению грамоте – 93%.</w:t>
      </w:r>
    </w:p>
    <w:p w:rsidR="002A0439" w:rsidRPr="002A0439" w:rsidRDefault="002A0439" w:rsidP="002A043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left="284" w:right="346" w:hanging="28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Художественно-эстетическое развитие:</w:t>
      </w:r>
    </w:p>
    <w:p w:rsidR="002A0439" w:rsidRPr="002A0439" w:rsidRDefault="002A0439" w:rsidP="002A0439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приобщение к изобразительному искусству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4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музыка – 94%;</w:t>
      </w:r>
    </w:p>
    <w:p w:rsidR="002A0439" w:rsidRPr="002A0439" w:rsidRDefault="002A0439" w:rsidP="002A0439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лепка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7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аппликация – 9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2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%;</w:t>
      </w:r>
    </w:p>
    <w:p w:rsidR="002A0439" w:rsidRPr="002A0439" w:rsidRDefault="002A0439" w:rsidP="002A0439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 w:hanging="1004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конструктивная деятельность – </w:t>
      </w:r>
      <w:r w:rsidRPr="002A0439">
        <w:rPr>
          <w:rFonts w:ascii="Times New Roman" w:hAnsi="Times New Roman" w:cs="Times New Roman"/>
          <w:w w:val="105"/>
          <w:sz w:val="24"/>
          <w:szCs w:val="24"/>
          <w:lang w:val="en-US" w:eastAsia="ar-SA"/>
        </w:rPr>
        <w:t>97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%.</w:t>
      </w:r>
    </w:p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346" w:firstLine="708"/>
        <w:jc w:val="both"/>
        <w:rPr>
          <w:rFonts w:ascii="Times New Roman" w:hAnsi="Times New Roman" w:cs="Times New Roman"/>
          <w:w w:val="105"/>
          <w:sz w:val="16"/>
          <w:szCs w:val="16"/>
          <w:lang w:eastAsia="ar-SA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he-IL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Результаты мониторинга используются педагогами для индивидуализации образования и оптимизации работы с группой детей.</w:t>
      </w: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 w:bidi="he-IL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 w:bidi="he-IL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 w:bidi="he-IL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 w:bidi="he-IL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 w:bidi="he-IL"/>
        </w:rPr>
        <w:t>Гистограмма № 1</w:t>
      </w: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A0439" w:rsidRPr="002A0439" w:rsidRDefault="002A0439" w:rsidP="002A0439">
      <w:pPr>
        <w:widowControl w:val="0"/>
        <w:shd w:val="clear" w:color="auto" w:fill="FFFFFF"/>
        <w:suppressAutoHyphens/>
        <w:autoSpaceDE w:val="0"/>
        <w:spacing w:after="0" w:line="240" w:lineRule="auto"/>
        <w:ind w:right="346"/>
        <w:jc w:val="right"/>
        <w:rPr>
          <w:rFonts w:ascii="Times New Roman" w:hAnsi="Times New Roman" w:cs="Times New Roman"/>
          <w:sz w:val="24"/>
          <w:szCs w:val="24"/>
          <w:lang w:eastAsia="ar-SA" w:bidi="he-IL"/>
        </w:rPr>
      </w:pPr>
      <w:r w:rsidRPr="002A0439">
        <w:rPr>
          <w:rFonts w:cs="Times New Roman"/>
          <w:noProof/>
          <w:lang w:eastAsia="ru-RU"/>
        </w:rPr>
        <w:drawing>
          <wp:inline distT="0" distB="0" distL="0" distR="0">
            <wp:extent cx="5739765" cy="2535555"/>
            <wp:effectExtent l="0" t="0" r="13335" b="17145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Hlk42158629"/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Анализ результатов:</w:t>
      </w: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1. Средний показатель освоения детьми образовательных областей Программ, реализуемых Учреждением, составил 95%. Наиболее успешно освоенные образовательные области по Учреждению (более среднего показателя) «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Физическое развитие» (97%) и «Социально-коммуникативное развитие» (96%)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</w:pP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2. М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енее успешно освоенные образовательные области по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>Учреждению (менее среднего показателя):</w:t>
      </w:r>
    </w:p>
    <w:p w:rsidR="002A0439" w:rsidRPr="002A0439" w:rsidRDefault="002A0439" w:rsidP="002A04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left="0" w:right="346" w:firstLine="0"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«Познавательное развитие» (94%): ФЭМП (89%);</w:t>
      </w:r>
    </w:p>
    <w:p w:rsidR="002A0439" w:rsidRPr="002A0439" w:rsidRDefault="002A0439" w:rsidP="002A04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«Речевое развитие» (92%):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развитие речи (91%),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чтение художественной литературы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(93%), подготовка к обучению грамоте (93%)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</w:pPr>
    </w:p>
    <w:p w:rsidR="002A0439" w:rsidRPr="002A0439" w:rsidRDefault="002A0439" w:rsidP="002A0439">
      <w:p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uppressAutoHyphens/>
        <w:ind w:right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_Hlk42160338"/>
      <w:bookmarkEnd w:id="1"/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М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енее успешному освоению образовательной области «Речевое развитие» способствовало наличие в Учреждении четырёх групп компенсирующе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й направленности для детей с тяжёлыми нарушения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речи.</w:t>
      </w:r>
    </w:p>
    <w:p w:rsidR="002A0439" w:rsidRPr="002A0439" w:rsidRDefault="002A0439" w:rsidP="002A0439">
      <w:p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uppressAutoHyphens/>
        <w:ind w:right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0439" w:rsidRPr="002A0439" w:rsidRDefault="002A0439" w:rsidP="002A0439">
      <w:p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uppressAutoHyphens/>
        <w:ind w:right="346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</w:t>
      </w:r>
      <w:bookmarkEnd w:id="2"/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На 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конец года есть дети, которые не освоили образовательные области программы - дети общеобразовательных групп дошкольного возраста (группы № 4, 5,</w:t>
      </w:r>
      <w:r w:rsidRPr="002A04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6,</w:t>
      </w:r>
      <w:r w:rsidRPr="002A04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9, 10,</w:t>
      </w:r>
      <w:r w:rsidRPr="002A04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12) и групп компенсирующей направленности (группы № 3, 7) – всего 38 детей (17% от 229 детей - общего количества участвовавших в мониторинге</w:t>
      </w:r>
      <w:bookmarkStart w:id="3" w:name="_Hlk42158666"/>
      <w:r w:rsidRPr="002A0439">
        <w:rPr>
          <w:rFonts w:eastAsia="Calibri"/>
          <w:sz w:val="24"/>
          <w:szCs w:val="24"/>
          <w:lang w:eastAsia="ar-SA"/>
        </w:rPr>
        <w:t>).</w:t>
      </w:r>
    </w:p>
    <w:bookmarkEnd w:id="3"/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 них: 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Старшая группа </w:t>
      </w:r>
      <w:r w:rsidRPr="002A04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компенсирующей направленности для детей с ТНР </w:t>
      </w:r>
      <w:r w:rsidRPr="002A0439">
        <w:rPr>
          <w:rFonts w:ascii="Times New Roman" w:hAnsi="Times New Roman" w:cs="Times New Roman"/>
          <w:sz w:val="24"/>
          <w:szCs w:val="24"/>
          <w:u w:val="single"/>
          <w:lang w:eastAsia="ar-SA"/>
        </w:rPr>
        <w:t>№ 3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–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всего 1 ребенок (направлен на ПМПК Курчатовского района для уточнения программы дальнейшего обучения и воспитания)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: по физическому развитию (физическая культура,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сохранение и укрепление психического и физического здоровья,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представлений о здоровом образе жизни), познавательному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развитию (мир природы, ФЭМП), по речевому развитию (развитие речи, подготовка к обучению грамоте), по художественно-эстетическому развитию (приобщение к изобразительному искусству, лепка)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;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 xml:space="preserve">Общеобразовательная группа раннего возраста № 4 - всего 9 детей: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>1 ребенок по физическому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сохранение и укрепление психического и физического здоровья,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представлений о здоровом 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lastRenderedPageBreak/>
        <w:t>социально-коммуникативному развитию (развитие игровой деятельности, социализация)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по познавательному развитию (сенсорное развитие, предметный мир, ФЭМП, мир природы),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(аппликация, музыка, конструктивная деятельность);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ребенок по физическому развитию (формирование представлений о здоровом 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игровой деятельности)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по познавательному развитию (сенсорное развитие, ФЭМП, мир природы),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eastAsia="Calibri" w:hAnsi="Times New Roman" w:cs="Times New Roman"/>
          <w:b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 художественно-эстетическому развитию (аппликация, музыка, конструктивная деятельность)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;</w:t>
      </w:r>
      <w:r w:rsidR="002A0439" w:rsidRPr="002A0439">
        <w:rPr>
          <w:rFonts w:ascii="Times New Roman" w:eastAsia="Calibri" w:hAnsi="Times New Roman" w:cs="Times New Roman"/>
          <w:b/>
          <w:w w:val="105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3 ребенка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игровой деятельности)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по познавательному развитию (ФЭМП), по речевому развитию (развитие речи),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 художественно-эстетическому развитию (музыка)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2 ребенка по познавательному развитию (ФЭМП), по речевому развитию (развитие речи);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2 ребенка по познавательному развитию (ФЭМП).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>Общеобразовательная группа раннего возраста</w:t>
      </w:r>
      <w:r w:rsidRPr="002A043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 xml:space="preserve">группа № 5 - всего 7 детей: </w:t>
      </w:r>
    </w:p>
    <w:p w:rsidR="002A0439" w:rsidRPr="002A0439" w:rsidRDefault="008D5A3C" w:rsidP="002A043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ребенок по физическому развитию (физическая культура),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игровой и трудовой деятельности)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по познавательному развитию (сенсорное развитие, ФЭМП),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(аппликация);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ребенок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трудовой деятельности)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познавательному развитию (ФЭМП),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(аппликация);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2 ребенка по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познавательному развитию (ФЭМП),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(аппликация);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2 ребенка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);</w:t>
      </w:r>
    </w:p>
    <w:p w:rsidR="002A0439" w:rsidRPr="002A0439" w:rsidRDefault="008D5A3C" w:rsidP="002A043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ребенок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по речевому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).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 xml:space="preserve">Общеобразовательная </w:t>
      </w:r>
      <w:r w:rsidRPr="002A043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группа № 6 </w:t>
      </w:r>
      <w:r w:rsidRPr="002A0439">
        <w:rPr>
          <w:rFonts w:ascii="Times New Roman" w:hAnsi="Times New Roman" w:cs="Times New Roman"/>
          <w:w w:val="105"/>
          <w:sz w:val="24"/>
          <w:szCs w:val="24"/>
          <w:u w:val="single"/>
          <w:lang w:eastAsia="ar-SA"/>
        </w:rPr>
        <w:t xml:space="preserve">– всего 4 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>ребенка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речевому развитию (подготовка к обучению грамоте)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 xml:space="preserve">Подготовительная к школе группа </w:t>
      </w:r>
      <w:r w:rsidRPr="002A04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компенсирующей направленности для детей с ТНР 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>№ 7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- всего 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1 ребенок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игровой деятельности)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, познавательному 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развитию (ФЭМП), по речевому развитию (подготовка к обучению грамоте), по художественно-эстетическому развитию (приобщение к изобразительному искусству, аппликация)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;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 xml:space="preserve"> Общеобразовательная 2-ая младшая группа № 9 – всего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Pr="002A0439">
        <w:rPr>
          <w:rFonts w:ascii="Times New Roman" w:hAnsi="Times New Roman" w:cs="Times New Roman"/>
          <w:w w:val="105"/>
          <w:sz w:val="24"/>
          <w:szCs w:val="24"/>
          <w:u w:val="single"/>
          <w:lang w:eastAsia="ar-SA"/>
        </w:rPr>
        <w:t>6 детей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: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1 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(формирование представлений о здоровом 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игровой деятельности, социализация)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, по познавательному развитию (ФЭМП), по речевому развитию (развитие речи),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(приобщение к изобразительному искусству, аппликация, музыка, лепка, конструктивная деятельность);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2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ребенка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(формирование представлений о здоровом 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(социализация)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 художественно-эстетическому развитию (приобщение к изобразительному искусству, аппликация, музыка, лепка);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1 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(формирование представлений о здоровом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(социализация)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 художественно-эстетическому развитию (музыка, конструктивная деятельность);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2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ребенка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 художественно-эстетическому развитию (музыка);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>Общеобразовательная</w:t>
      </w:r>
      <w:r w:rsidRPr="002A043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 xml:space="preserve">смешанная (старшая - средняя) группа № 10 – всего 2 ребенка: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1 ребенок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по познавательному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развитию (сенсорное развитие, ФЭМП, мир природы),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по речевому развитию (развитие речи, подготовка к обучению грамоте),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по художественно-эстетическому развитию (аппликация);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1 ребенок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по познавательному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развитию (ФЭМП),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по речевому развитию (подготовка к обучению грамоте)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eastAsia="Calibri" w:hAnsi="Times New Roman" w:cs="Times New Roman"/>
          <w:w w:val="105"/>
          <w:sz w:val="24"/>
          <w:szCs w:val="24"/>
          <w:u w:val="single"/>
          <w:lang w:eastAsia="ar-SA"/>
        </w:rPr>
        <w:t>Общеобразовательная 2-ая младшая группа № 12 – всего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Pr="002A0439">
        <w:rPr>
          <w:rFonts w:ascii="Times New Roman" w:hAnsi="Times New Roman" w:cs="Times New Roman"/>
          <w:w w:val="105"/>
          <w:sz w:val="24"/>
          <w:szCs w:val="24"/>
          <w:u w:val="single"/>
          <w:lang w:eastAsia="ar-SA"/>
        </w:rPr>
        <w:t>8 детей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: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3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ребенка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(физическая культура,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сохранение и укрепление психического и физического здоровья, воспитание КГН,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представлений о здоровом 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игровой  и трудовой деятельности, социализация)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, по познавательному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сенсорное развитие, предметный мир, ФЭМП, мир природы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(приобщение к изобразительному искусству, аппликация, музыка, лепка, конструктивная деятельность);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сохранение и укрепление психического и физического здоровья, воспитание КГН,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представлений о здоровом образе жизни), по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социально-коммуникативному развитию (развитие трудовой деятельности, социализация)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, по познавательному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сенсорное развитие, предметный мир, ФЭМП, мир природы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 xml:space="preserve">), по речевому развитию (развитие речи, 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(приобщение к изобразительному искусству, аппликация, музыка, конструктивная деятельность);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воспитание КГН,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представлений о здоровом образе жизни),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по познавательному развитию (п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редметный мир, ФЭМП, мир природы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 по речевому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 по художественно-эстетическому развитию (приобщение к изобразительному искусству, аппликация, музыка);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по физическому развитию (формирование представлений о здоровом образе жизни),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по познавательному развитию (п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редметный мир, ФЭМП, мир природы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 по речевому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по познавательному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ФЭМП, мир природы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 по речевому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8D5A3C" w:rsidP="002A04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</w:tabs>
        <w:suppressAutoHyphens/>
        <w:autoSpaceDE w:val="0"/>
        <w:spacing w:after="0" w:line="240" w:lineRule="auto"/>
        <w:ind w:left="0" w:right="346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ребенок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по познавательному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ФЭМП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), по речевому развитию (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чтение художественной литературы</w:t>
      </w:r>
      <w:r w:rsidR="002A0439"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)</w:t>
      </w:r>
      <w:r w:rsidR="002A0439"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;</w:t>
      </w:r>
      <w:r w:rsidR="002A0439"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0"/>
          <w:tab w:val="left" w:pos="426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0439" w:rsidRPr="002A0439" w:rsidRDefault="002A0439" w:rsidP="002A043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Основные причины не освоения детьми образовательных областей Программ, реализуемых Учреждением:</w:t>
      </w:r>
    </w:p>
    <w:p w:rsidR="002A0439" w:rsidRPr="002A0439" w:rsidRDefault="002A0439" w:rsidP="002A043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индивидуальные психические и физические особенности детей (4 ребенка групп № 4 и 4 ребенка из группы № 5 в анамнезе имеют заключение невролога ЗРР; 4 ребенка группы № 9, 8 детей из групп № 12 получили рекомендацию ПМПК обучаться по адаптированной программе дошкольного образования </w:t>
      </w:r>
      <w:r w:rsidRPr="002A0439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вида; 1 ребенок групп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ы №3 получил рекомендацию ПМПК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обучаться по адаптированной программе дошкольного образования </w:t>
      </w:r>
      <w:r w:rsidRPr="002A0439">
        <w:rPr>
          <w:rFonts w:ascii="Times New Roman" w:hAnsi="Times New Roman" w:cs="Times New Roman"/>
          <w:sz w:val="24"/>
          <w:szCs w:val="24"/>
          <w:lang w:val="en-US" w:eastAsia="ar-SA"/>
        </w:rPr>
        <w:t>VII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 вида);</w:t>
      </w:r>
    </w:p>
    <w:p w:rsidR="002A0439" w:rsidRPr="002A0439" w:rsidRDefault="002A0439" w:rsidP="002A043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низкая посещаемость (по 1 ребенку из групп № 6, 7, 9 посещали Учреждение менее 6 месяцев и не освоили программу своей возрастной группы в полном объеме);</w:t>
      </w:r>
    </w:p>
    <w:p w:rsidR="002A0439" w:rsidRPr="002A0439" w:rsidRDefault="002A0439" w:rsidP="002A043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 xml:space="preserve">стиль семейного воспитания (отсутствие заинтересованности в усвоении знаний,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умений и навыков – по 1 ребенку из групп № 6, 10);</w:t>
      </w:r>
    </w:p>
    <w:p w:rsidR="002A0439" w:rsidRPr="002A0439" w:rsidRDefault="002A0439" w:rsidP="002A043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низкий природный потенциал (по 1 ребенку из групп № 6, 8, 9);</w:t>
      </w:r>
    </w:p>
    <w:p w:rsidR="002A0439" w:rsidRPr="002A0439" w:rsidRDefault="002A0439" w:rsidP="002A043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недостаточная профессиональная компетентность педагогов групп № 4, 6 (молодые педагоги имеют стаж работы в Учреждении менее 1 года).</w:t>
      </w:r>
    </w:p>
    <w:p w:rsidR="002A0439" w:rsidRPr="002A0439" w:rsidRDefault="002A0439" w:rsidP="002A0439">
      <w:pPr>
        <w:widowControl w:val="0"/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uppressAutoHyphens/>
        <w:autoSpaceDE w:val="0"/>
        <w:spacing w:after="0" w:line="240" w:lineRule="auto"/>
        <w:ind w:right="346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</w:pP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Общие выводы (по сравнению с 2022-2023 учебным годом):</w:t>
      </w:r>
    </w:p>
    <w:p w:rsidR="002A0439" w:rsidRPr="002A0439" w:rsidRDefault="002A0439" w:rsidP="002A0439">
      <w:pPr>
        <w:widowControl w:val="0"/>
        <w:numPr>
          <w:ilvl w:val="3"/>
          <w:numId w:val="26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Средний показатель освоения детьми образовательных областей Программ незначительно снизился на 0,3% и составил 95%. Тенденция по снижению среднего показателя наблюдается на протяжении 5 лет (с 2018-2019 года - 98,8%).</w:t>
      </w:r>
    </w:p>
    <w:p w:rsidR="002A0439" w:rsidRPr="002A0439" w:rsidRDefault="002A0439" w:rsidP="002A0439">
      <w:pPr>
        <w:widowControl w:val="0"/>
        <w:numPr>
          <w:ilvl w:val="3"/>
          <w:numId w:val="26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sz w:val="24"/>
          <w:szCs w:val="24"/>
          <w:lang w:eastAsia="ar-SA"/>
        </w:rPr>
        <w:t>Успешно освоены 3 образовательные области по Учреждению (более среднего показателя) «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Физическое развитие» (97%) и «Социально-коммуникативное развитие» (96%) и «Художественно-эстетическое развитие» (95%)</w:t>
      </w:r>
      <w:r w:rsidRPr="002A0439">
        <w:rPr>
          <w:rFonts w:ascii="Times New Roman" w:eastAsia="Calibri" w:hAnsi="Times New Roman" w:cs="Times New Roman"/>
          <w:w w:val="105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numPr>
          <w:ilvl w:val="3"/>
          <w:numId w:val="26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Уменьшилось количество групп (с 9 групп до 8), где есть дети, не освоившие образовательные области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>ОП ДО и АОП ДО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numPr>
          <w:ilvl w:val="3"/>
          <w:numId w:val="26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 xml:space="preserve">Незначительно увеличилось количество детей (с 15% до 17%), не освоившие образовательные области </w:t>
      </w:r>
      <w:r w:rsidRPr="002A0439">
        <w:rPr>
          <w:rFonts w:ascii="Times New Roman" w:hAnsi="Times New Roman" w:cs="Times New Roman"/>
          <w:sz w:val="24"/>
          <w:szCs w:val="24"/>
          <w:lang w:eastAsia="ar-SA"/>
        </w:rPr>
        <w:t>ОП ДО и АОП ДО, что обусловлено уменьшением количества детей, участвовавших в мониторинге (с 258 до 229)</w:t>
      </w:r>
      <w:r w:rsidRPr="002A0439">
        <w:rPr>
          <w:rFonts w:ascii="Times New Roman" w:hAnsi="Times New Roman" w:cs="Times New Roman"/>
          <w:w w:val="105"/>
          <w:sz w:val="24"/>
          <w:szCs w:val="24"/>
          <w:lang w:eastAsia="ar-SA"/>
        </w:rPr>
        <w:t>.</w:t>
      </w: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0439" w:rsidRPr="002A0439" w:rsidRDefault="002A0439" w:rsidP="002A0439">
      <w:pPr>
        <w:tabs>
          <w:tab w:val="left" w:pos="284"/>
        </w:tabs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В 2024-2025 учебном году </w:t>
      </w:r>
      <w:r w:rsidRPr="002A0439">
        <w:rPr>
          <w:rFonts w:ascii="Times New Roman" w:hAnsi="Times New Roman" w:cs="Times New Roman"/>
          <w:sz w:val="24"/>
          <w:szCs w:val="24"/>
        </w:rPr>
        <w:t xml:space="preserve">профессиональным объединениям Учреждения   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необходимо направить свою деятельность на повышение </w:t>
      </w:r>
      <w:r w:rsidRPr="002A0439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педагогов (молодых педагогов) </w:t>
      </w:r>
      <w:r w:rsidRPr="002A0439">
        <w:rPr>
          <w:rFonts w:ascii="Times New Roman" w:eastAsia="Calibri" w:hAnsi="Times New Roman" w:cs="Times New Roman"/>
          <w:sz w:val="24"/>
          <w:szCs w:val="24"/>
        </w:rPr>
        <w:t xml:space="preserve">для успешного освоения детьми </w:t>
      </w:r>
      <w:r w:rsidRPr="002A043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образовательных областей Программ</w:t>
      </w:r>
      <w:r w:rsidRPr="002A0439">
        <w:rPr>
          <w:rFonts w:ascii="Times New Roman" w:eastAsia="Calibri" w:hAnsi="Times New Roman" w:cs="Times New Roman"/>
          <w:sz w:val="24"/>
          <w:szCs w:val="24"/>
        </w:rPr>
        <w:t>, особенно речевого и познавательного развития, как менее успешно освоенных детьми по итогам мониторинга.</w:t>
      </w:r>
    </w:p>
    <w:p w:rsidR="002A0439" w:rsidRPr="002A0439" w:rsidRDefault="002A0439" w:rsidP="002A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0439" w:rsidRPr="002A0439" w:rsidRDefault="002A0439" w:rsidP="002A0439">
      <w:pPr>
        <w:rPr>
          <w:rFonts w:cs="Times New Roman"/>
          <w:lang w:eastAsia="ru-RU"/>
        </w:rPr>
      </w:pPr>
    </w:p>
    <w:p w:rsidR="00AF0F46" w:rsidRPr="002A0439" w:rsidRDefault="00AF0F46" w:rsidP="002A0439"/>
    <w:sectPr w:rsidR="00AF0F46" w:rsidRPr="002A0439" w:rsidSect="00AF0F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2FC"/>
    <w:multiLevelType w:val="hybridMultilevel"/>
    <w:tmpl w:val="A36A9392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4DC"/>
    <w:multiLevelType w:val="hybridMultilevel"/>
    <w:tmpl w:val="82649684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6A10"/>
    <w:multiLevelType w:val="hybridMultilevel"/>
    <w:tmpl w:val="636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9508B"/>
    <w:multiLevelType w:val="hybridMultilevel"/>
    <w:tmpl w:val="A386D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7EA"/>
    <w:multiLevelType w:val="hybridMultilevel"/>
    <w:tmpl w:val="3E2C87E8"/>
    <w:lvl w:ilvl="0" w:tplc="96C8DA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C70C13"/>
    <w:multiLevelType w:val="hybridMultilevel"/>
    <w:tmpl w:val="8EAAB144"/>
    <w:lvl w:ilvl="0" w:tplc="3DC293A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60DC1629"/>
    <w:multiLevelType w:val="hybridMultilevel"/>
    <w:tmpl w:val="ACE0AC94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77F28"/>
    <w:multiLevelType w:val="hybridMultilevel"/>
    <w:tmpl w:val="EE48F080"/>
    <w:lvl w:ilvl="0" w:tplc="96C8DA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1163CF"/>
    <w:multiLevelType w:val="hybridMultilevel"/>
    <w:tmpl w:val="B6520C3C"/>
    <w:lvl w:ilvl="0" w:tplc="96C8DA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781167"/>
    <w:multiLevelType w:val="hybridMultilevel"/>
    <w:tmpl w:val="B4C442DC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1293"/>
    <w:multiLevelType w:val="hybridMultilevel"/>
    <w:tmpl w:val="7C8A381A"/>
    <w:lvl w:ilvl="0" w:tplc="96C8DA6A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F56913"/>
    <w:multiLevelType w:val="hybridMultilevel"/>
    <w:tmpl w:val="8AB0F318"/>
    <w:lvl w:ilvl="0" w:tplc="96C8DA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703FAD"/>
    <w:multiLevelType w:val="hybridMultilevel"/>
    <w:tmpl w:val="6014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B04EA"/>
    <w:multiLevelType w:val="hybridMultilevel"/>
    <w:tmpl w:val="540EF364"/>
    <w:lvl w:ilvl="0" w:tplc="96C8DA6A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"/>
  </w:num>
  <w:num w:numId="18">
    <w:abstractNumId w:val="7"/>
  </w:num>
  <w:num w:numId="19">
    <w:abstractNumId w:val="6"/>
  </w:num>
  <w:num w:numId="20">
    <w:abstractNumId w:val="11"/>
  </w:num>
  <w:num w:numId="21">
    <w:abstractNumId w:val="4"/>
  </w:num>
  <w:num w:numId="22">
    <w:abstractNumId w:val="10"/>
  </w:num>
  <w:num w:numId="23">
    <w:abstractNumId w:val="9"/>
  </w:num>
  <w:num w:numId="2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F46"/>
    <w:rsid w:val="002A0439"/>
    <w:rsid w:val="00482DF4"/>
    <w:rsid w:val="00643EBF"/>
    <w:rsid w:val="007A66C0"/>
    <w:rsid w:val="008D5A3C"/>
    <w:rsid w:val="00AF0F46"/>
    <w:rsid w:val="00B93CC2"/>
    <w:rsid w:val="00BC147A"/>
    <w:rsid w:val="00DE5D42"/>
    <w:rsid w:val="00E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8EDC"/>
  <w15:docId w15:val="{840E75FA-4D42-4977-95D4-9390D33C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5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6357"/>
    <w:pPr>
      <w:keepNext/>
      <w:suppressAutoHyphens/>
      <w:spacing w:after="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63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E1635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1635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Subtitle"/>
    <w:basedOn w:val="a"/>
    <w:next w:val="a"/>
    <w:link w:val="a4"/>
    <w:uiPriority w:val="99"/>
    <w:qFormat/>
    <w:rsid w:val="00E16357"/>
    <w:pPr>
      <w:suppressAutoHyphens/>
      <w:spacing w:after="0" w:line="240" w:lineRule="auto"/>
      <w:jc w:val="center"/>
    </w:pPr>
    <w:rPr>
      <w:rFonts w:ascii="Cambria" w:hAnsi="Cambria" w:cs="Times New Roman"/>
      <w:sz w:val="24"/>
      <w:szCs w:val="24"/>
    </w:rPr>
  </w:style>
  <w:style w:type="character" w:customStyle="1" w:styleId="a4">
    <w:name w:val="Подзаголовок Знак"/>
    <w:link w:val="a3"/>
    <w:uiPriority w:val="99"/>
    <w:rsid w:val="00E16357"/>
    <w:rPr>
      <w:rFonts w:ascii="Cambria" w:hAnsi="Cambria" w:cs="Times New Roman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E163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6357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B93CC2"/>
    <w:pPr>
      <w:suppressAutoHyphens/>
      <w:ind w:left="720"/>
      <w:jc w:val="both"/>
    </w:pPr>
    <w:rPr>
      <w:rFonts w:eastAsia="Calibri"/>
      <w:color w:val="000000"/>
      <w:lang w:eastAsia="ar-SA"/>
    </w:rPr>
  </w:style>
  <w:style w:type="character" w:customStyle="1" w:styleId="a8">
    <w:name w:val="Абзац списка Знак"/>
    <w:basedOn w:val="a0"/>
    <w:link w:val="a7"/>
    <w:uiPriority w:val="34"/>
    <w:locked/>
    <w:rsid w:val="00B93CC2"/>
    <w:rPr>
      <w:rFonts w:eastAsia="Calibri"/>
      <w:color w:val="000000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9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00976701755699"/>
          <c:y val="5.7272467338230992E-2"/>
          <c:w val="0.78919239904988125"/>
          <c:h val="0.49944647282218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н/г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Физическая культура</c:v>
                </c:pt>
                <c:pt idx="1">
                  <c:v>Сохранение и укрепление физ. псих. здоровья</c:v>
                </c:pt>
                <c:pt idx="2">
                  <c:v>Воспитание КГН</c:v>
                </c:pt>
                <c:pt idx="3">
                  <c:v>Форм. пред. о здоровом обр. жизни</c:v>
                </c:pt>
                <c:pt idx="4">
                  <c:v>Развитие игровой деятельности</c:v>
                </c:pt>
                <c:pt idx="5">
                  <c:v>Социализация</c:v>
                </c:pt>
                <c:pt idx="6">
                  <c:v>Развитие трудовой деятельности</c:v>
                </c:pt>
                <c:pt idx="7">
                  <c:v>Сенсорное развитие</c:v>
                </c:pt>
                <c:pt idx="8">
                  <c:v>Предметный мир</c:v>
                </c:pt>
                <c:pt idx="9">
                  <c:v>ФЭМП</c:v>
                </c:pt>
                <c:pt idx="10">
                  <c:v>Мир природы</c:v>
                </c:pt>
                <c:pt idx="11">
                  <c:v>Развитие речи</c:v>
                </c:pt>
                <c:pt idx="12">
                  <c:v>Чтение худ. литературы</c:v>
                </c:pt>
                <c:pt idx="13">
                  <c:v>Подготовка к обучению грамоте</c:v>
                </c:pt>
                <c:pt idx="14">
                  <c:v>Приобщение к изобр. искусству</c:v>
                </c:pt>
                <c:pt idx="15">
                  <c:v>Музыка</c:v>
                </c:pt>
                <c:pt idx="16">
                  <c:v>Лепка</c:v>
                </c:pt>
                <c:pt idx="17">
                  <c:v>Аппликация</c:v>
                </c:pt>
                <c:pt idx="18">
                  <c:v>Конструктивная деятельность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61</c:v>
                </c:pt>
                <c:pt idx="1">
                  <c:v>63</c:v>
                </c:pt>
                <c:pt idx="2">
                  <c:v>65</c:v>
                </c:pt>
                <c:pt idx="3">
                  <c:v>56</c:v>
                </c:pt>
                <c:pt idx="4">
                  <c:v>65</c:v>
                </c:pt>
                <c:pt idx="5">
                  <c:v>70</c:v>
                </c:pt>
                <c:pt idx="6">
                  <c:v>60</c:v>
                </c:pt>
                <c:pt idx="7">
                  <c:v>51</c:v>
                </c:pt>
                <c:pt idx="8">
                  <c:v>48</c:v>
                </c:pt>
                <c:pt idx="9">
                  <c:v>43</c:v>
                </c:pt>
                <c:pt idx="10">
                  <c:v>46</c:v>
                </c:pt>
                <c:pt idx="11">
                  <c:v>44</c:v>
                </c:pt>
                <c:pt idx="12">
                  <c:v>50</c:v>
                </c:pt>
                <c:pt idx="13">
                  <c:v>28</c:v>
                </c:pt>
                <c:pt idx="14">
                  <c:v>49</c:v>
                </c:pt>
                <c:pt idx="15">
                  <c:v>56</c:v>
                </c:pt>
                <c:pt idx="16">
                  <c:v>25</c:v>
                </c:pt>
                <c:pt idx="17">
                  <c:v>46</c:v>
                </c:pt>
                <c:pt idx="1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7-495C-A225-2CAEE10087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к/г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Физическая культура</c:v>
                </c:pt>
                <c:pt idx="1">
                  <c:v>Сохранение и укрепление физ. псих. здоровья</c:v>
                </c:pt>
                <c:pt idx="2">
                  <c:v>Воспитание КГН</c:v>
                </c:pt>
                <c:pt idx="3">
                  <c:v>Форм. пред. о здоровом обр. жизни</c:v>
                </c:pt>
                <c:pt idx="4">
                  <c:v>Развитие игровой деятельности</c:v>
                </c:pt>
                <c:pt idx="5">
                  <c:v>Социализация</c:v>
                </c:pt>
                <c:pt idx="6">
                  <c:v>Развитие трудовой деятельности</c:v>
                </c:pt>
                <c:pt idx="7">
                  <c:v>Сенсорное развитие</c:v>
                </c:pt>
                <c:pt idx="8">
                  <c:v>Предметный мир</c:v>
                </c:pt>
                <c:pt idx="9">
                  <c:v>ФЭМП</c:v>
                </c:pt>
                <c:pt idx="10">
                  <c:v>Мир природы</c:v>
                </c:pt>
                <c:pt idx="11">
                  <c:v>Развитие речи</c:v>
                </c:pt>
                <c:pt idx="12">
                  <c:v>Чтение худ. литературы</c:v>
                </c:pt>
                <c:pt idx="13">
                  <c:v>Подготовка к обучению грамоте</c:v>
                </c:pt>
                <c:pt idx="14">
                  <c:v>Приобщение к изобр. искусству</c:v>
                </c:pt>
                <c:pt idx="15">
                  <c:v>Музыка</c:v>
                </c:pt>
                <c:pt idx="16">
                  <c:v>Лепка</c:v>
                </c:pt>
                <c:pt idx="17">
                  <c:v>Аппликация</c:v>
                </c:pt>
                <c:pt idx="18">
                  <c:v>Конструктивная деятельность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98</c:v>
                </c:pt>
                <c:pt idx="1">
                  <c:v>97</c:v>
                </c:pt>
                <c:pt idx="2">
                  <c:v>98</c:v>
                </c:pt>
                <c:pt idx="3">
                  <c:v>94</c:v>
                </c:pt>
                <c:pt idx="4">
                  <c:v>95</c:v>
                </c:pt>
                <c:pt idx="5">
                  <c:v>97</c:v>
                </c:pt>
                <c:pt idx="6">
                  <c:v>97</c:v>
                </c:pt>
                <c:pt idx="7">
                  <c:v>96</c:v>
                </c:pt>
                <c:pt idx="8">
                  <c:v>97</c:v>
                </c:pt>
                <c:pt idx="9">
                  <c:v>89</c:v>
                </c:pt>
                <c:pt idx="10">
                  <c:v>95</c:v>
                </c:pt>
                <c:pt idx="11">
                  <c:v>91</c:v>
                </c:pt>
                <c:pt idx="12">
                  <c:v>93</c:v>
                </c:pt>
                <c:pt idx="13">
                  <c:v>93</c:v>
                </c:pt>
                <c:pt idx="14">
                  <c:v>94</c:v>
                </c:pt>
                <c:pt idx="15">
                  <c:v>94</c:v>
                </c:pt>
                <c:pt idx="16">
                  <c:v>97</c:v>
                </c:pt>
                <c:pt idx="17">
                  <c:v>92</c:v>
                </c:pt>
                <c:pt idx="18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B7-495C-A225-2CAEE1008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720320"/>
        <c:axId val="65721856"/>
        <c:axId val="0"/>
      </c:bar3DChart>
      <c:catAx>
        <c:axId val="6572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65721856"/>
        <c:crosses val="autoZero"/>
        <c:auto val="1"/>
        <c:lblAlgn val="ctr"/>
        <c:lblOffset val="100"/>
        <c:noMultiLvlLbl val="0"/>
      </c:catAx>
      <c:valAx>
        <c:axId val="6572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72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092908029353833"/>
          <c:y val="0.77560484757841408"/>
          <c:w val="0.12412765506449459"/>
          <c:h val="0.2089315825745252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2024-05-29T06:09:00Z</dcterms:created>
  <dcterms:modified xsi:type="dcterms:W3CDTF">2025-06-09T06:15:00Z</dcterms:modified>
</cp:coreProperties>
</file>